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40" w:type="dxa"/>
        <w:tblCellMar>
          <w:left w:w="10" w:type="dxa"/>
          <w:right w:w="10" w:type="dxa"/>
        </w:tblCellMar>
        <w:tblLook w:val="0000" w:firstRow="0" w:lastRow="0" w:firstColumn="0" w:lastColumn="0" w:noHBand="0" w:noVBand="0"/>
      </w:tblPr>
      <w:tblGrid>
        <w:gridCol w:w="8000"/>
        <w:gridCol w:w="2040"/>
      </w:tblGrid>
      <w:tr w:rsidR="00C71BB9" w14:paraId="183515FE" w14:textId="77777777">
        <w:tc>
          <w:tcPr>
            <w:tcW w:w="8000" w:type="dxa"/>
            <w:tcMar>
              <w:top w:w="40" w:type="dxa"/>
              <w:left w:w="100" w:type="dxa"/>
              <w:bottom w:w="40" w:type="dxa"/>
              <w:right w:w="100" w:type="dxa"/>
            </w:tcMar>
          </w:tcPr>
          <w:p w14:paraId="6EAB8545" w14:textId="77777777" w:rsidR="00C71BB9" w:rsidRDefault="00000000">
            <w:pPr>
              <w:spacing w:after="20"/>
            </w:pPr>
            <w:r>
              <w:rPr>
                <w:rFonts w:ascii="Libre Baskerville" w:eastAsia="Libre Baskerville" w:hAnsi="Libre Baskerville" w:cs="Libre Baskerville"/>
                <w:b/>
                <w:bCs/>
                <w:color w:val="14243B"/>
                <w:sz w:val="52"/>
                <w:szCs w:val="52"/>
              </w:rPr>
              <w:t>THE DAILY PULSE</w:t>
            </w:r>
          </w:p>
          <w:p w14:paraId="45249C21" w14:textId="77777777" w:rsidR="00C71BB9" w:rsidRDefault="00000000">
            <w:pPr>
              <w:spacing w:after="40"/>
            </w:pPr>
            <w:r>
              <w:rPr>
                <w:rFonts w:ascii="Libre Baskerville" w:eastAsia="Libre Baskerville" w:hAnsi="Libre Baskerville" w:cs="Libre Baskerville"/>
                <w:i/>
                <w:iCs/>
                <w:color w:val="14243B"/>
                <w:sz w:val="24"/>
                <w:szCs w:val="24"/>
              </w:rPr>
              <w:t>by Jagdeep Dayal</w:t>
            </w:r>
          </w:p>
          <w:p w14:paraId="288685C4" w14:textId="77777777" w:rsidR="00C71BB9" w:rsidRDefault="00000000">
            <w:r>
              <w:rPr>
                <w:rFonts w:ascii="Aptos" w:eastAsia="Aptos" w:hAnsi="Aptos" w:cs="Aptos"/>
                <w:b/>
                <w:bCs/>
                <w:color w:val="2563EB"/>
                <w:spacing w:val="30"/>
              </w:rPr>
              <w:t>PAYMENTS   •   BANKING   •   LENDING</w:t>
            </w:r>
          </w:p>
        </w:tc>
        <w:tc>
          <w:tcPr>
            <w:tcW w:w="2040" w:type="dxa"/>
            <w:tcMar>
              <w:top w:w="40" w:type="dxa"/>
              <w:left w:w="100" w:type="dxa"/>
              <w:bottom w:w="40" w:type="dxa"/>
              <w:right w:w="100" w:type="dxa"/>
            </w:tcMar>
            <w:vAlign w:val="center"/>
          </w:tcPr>
          <w:p w14:paraId="4BC679A2" w14:textId="77777777" w:rsidR="00C71BB9" w:rsidRDefault="00000000">
            <w:pPr>
              <w:jc w:val="right"/>
            </w:pPr>
            <w:r>
              <w:rPr>
                <w:noProof/>
              </w:rPr>
              <w:drawing>
                <wp:inline distT="0" distB="0" distL="0" distR="0" wp14:anchorId="25526068" wp14:editId="64492941">
                  <wp:extent cx="5905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90550" cy="590550"/>
                          </a:xfrm>
                          <a:prstGeom prst="rect">
                            <a:avLst/>
                          </a:prstGeom>
                        </pic:spPr>
                      </pic:pic>
                    </a:graphicData>
                  </a:graphic>
                </wp:inline>
              </w:drawing>
            </w:r>
          </w:p>
        </w:tc>
      </w:tr>
    </w:tbl>
    <w:p w14:paraId="47997875" w14:textId="77777777" w:rsidR="00C71BB9" w:rsidRDefault="00C71BB9">
      <w:pPr>
        <w:pBdr>
          <w:bottom w:val="single" w:sz="8" w:space="1" w:color="14243B"/>
        </w:pBdr>
        <w:spacing w:before="120" w:after="120"/>
      </w:pPr>
    </w:p>
    <w:tbl>
      <w:tblPr>
        <w:tblW w:w="10040" w:type="dxa"/>
        <w:tblCellMar>
          <w:left w:w="10" w:type="dxa"/>
          <w:right w:w="10" w:type="dxa"/>
        </w:tblCellMar>
        <w:tblLook w:val="0000" w:firstRow="0" w:lastRow="0" w:firstColumn="0" w:lastColumn="0" w:noHBand="0" w:noVBand="0"/>
      </w:tblPr>
      <w:tblGrid>
        <w:gridCol w:w="5020"/>
        <w:gridCol w:w="5020"/>
      </w:tblGrid>
      <w:tr w:rsidR="00C71BB9" w14:paraId="008898AF" w14:textId="77777777">
        <w:tc>
          <w:tcPr>
            <w:tcW w:w="5020" w:type="dxa"/>
            <w:tcMar>
              <w:top w:w="40" w:type="dxa"/>
              <w:left w:w="100" w:type="dxa"/>
              <w:bottom w:w="40" w:type="dxa"/>
              <w:right w:w="100" w:type="dxa"/>
            </w:tcMar>
          </w:tcPr>
          <w:p w14:paraId="65AEE968" w14:textId="77777777" w:rsidR="00C71BB9" w:rsidRDefault="00000000">
            <w:r>
              <w:rPr>
                <w:noProof/>
              </w:rPr>
              <w:drawing>
                <wp:inline distT="0" distB="0" distL="0" distR="0" wp14:anchorId="65C09AA5" wp14:editId="28F9ABB2">
                  <wp:extent cx="142875" cy="142875"/>
                  <wp:effectExtent l="0" t="0" r="0" b="0"/>
                  <wp:docPr id="219015612" name="Picture 21901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42875" cy="142875"/>
                          </a:xfrm>
                          <a:prstGeom prst="rect">
                            <a:avLst/>
                          </a:prstGeom>
                        </pic:spPr>
                      </pic:pic>
                    </a:graphicData>
                  </a:graphic>
                </wp:inline>
              </w:drawing>
            </w:r>
            <w:r>
              <w:rPr>
                <w:rFonts w:ascii="Aptos" w:eastAsia="Aptos" w:hAnsi="Aptos" w:cs="Aptos"/>
                <w:b/>
                <w:bCs/>
                <w:color w:val="14243B"/>
                <w:spacing w:val="20"/>
                <w:sz w:val="18"/>
                <w:szCs w:val="18"/>
              </w:rPr>
              <w:t xml:space="preserve">  TUESDAY, SEPTEMBER 1, 2026</w:t>
            </w:r>
          </w:p>
        </w:tc>
        <w:tc>
          <w:tcPr>
            <w:tcW w:w="5020" w:type="dxa"/>
            <w:tcMar>
              <w:top w:w="40" w:type="dxa"/>
              <w:left w:w="100" w:type="dxa"/>
              <w:bottom w:w="40" w:type="dxa"/>
              <w:right w:w="100" w:type="dxa"/>
            </w:tcMar>
            <w:vAlign w:val="center"/>
          </w:tcPr>
          <w:p w14:paraId="023D30DF" w14:textId="77777777" w:rsidR="00C71BB9" w:rsidRDefault="00000000">
            <w:pPr>
              <w:jc w:val="right"/>
            </w:pPr>
            <w:r>
              <w:rPr>
                <w:rFonts w:ascii="Aptos" w:eastAsia="Aptos" w:hAnsi="Aptos" w:cs="Aptos"/>
                <w:b/>
                <w:bCs/>
                <w:color w:val="5A5A66"/>
                <w:spacing w:val="20"/>
                <w:sz w:val="18"/>
                <w:szCs w:val="18"/>
              </w:rPr>
              <w:t>COVERAGE WINDOW: AUGUST 25 – SEPTEMBER 1, 2026</w:t>
            </w:r>
          </w:p>
        </w:tc>
      </w:tr>
    </w:tbl>
    <w:p w14:paraId="13561180" w14:textId="77777777" w:rsidR="00C71BB9" w:rsidRDefault="00C71BB9">
      <w:pPr>
        <w:spacing w:after="160"/>
      </w:pPr>
    </w:p>
    <w:tbl>
      <w:tblPr>
        <w:tblW w:w="10040" w:type="dxa"/>
        <w:tblCellMar>
          <w:left w:w="10" w:type="dxa"/>
          <w:right w:w="10" w:type="dxa"/>
        </w:tblCellMar>
        <w:tblLook w:val="0000" w:firstRow="0" w:lastRow="0" w:firstColumn="0" w:lastColumn="0" w:noHBand="0" w:noVBand="0"/>
      </w:tblPr>
      <w:tblGrid>
        <w:gridCol w:w="950"/>
        <w:gridCol w:w="9090"/>
      </w:tblGrid>
      <w:tr w:rsidR="00C71BB9" w14:paraId="24B13F9C" w14:textId="77777777">
        <w:tc>
          <w:tcPr>
            <w:tcW w:w="950" w:type="dxa"/>
            <w:shd w:val="clear" w:color="auto" w:fill="EEF1EE"/>
            <w:tcMar>
              <w:top w:w="160" w:type="dxa"/>
              <w:left w:w="140" w:type="dxa"/>
              <w:bottom w:w="160" w:type="dxa"/>
              <w:right w:w="60" w:type="dxa"/>
            </w:tcMar>
            <w:vAlign w:val="center"/>
          </w:tcPr>
          <w:p w14:paraId="67EA0E25" w14:textId="77777777" w:rsidR="00C71BB9" w:rsidRDefault="00000000">
            <w:pPr>
              <w:jc w:val="center"/>
            </w:pPr>
            <w:r>
              <w:rPr>
                <w:noProof/>
              </w:rPr>
              <w:drawing>
                <wp:inline distT="0" distB="0" distL="0" distR="0" wp14:anchorId="0D3C99E5" wp14:editId="68E88B94">
                  <wp:extent cx="323850" cy="323850"/>
                  <wp:effectExtent l="0" t="0" r="0" b="0"/>
                  <wp:docPr id="622664774" name="Picture 62266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23850" cy="323850"/>
                          </a:xfrm>
                          <a:prstGeom prst="rect">
                            <a:avLst/>
                          </a:prstGeom>
                        </pic:spPr>
                      </pic:pic>
                    </a:graphicData>
                  </a:graphic>
                </wp:inline>
              </w:drawing>
            </w:r>
          </w:p>
        </w:tc>
        <w:tc>
          <w:tcPr>
            <w:tcW w:w="9090" w:type="dxa"/>
            <w:shd w:val="clear" w:color="auto" w:fill="EEF1EE"/>
            <w:tcMar>
              <w:top w:w="160" w:type="dxa"/>
              <w:left w:w="80" w:type="dxa"/>
              <w:bottom w:w="160" w:type="dxa"/>
              <w:right w:w="200" w:type="dxa"/>
            </w:tcMar>
            <w:vAlign w:val="center"/>
          </w:tcPr>
          <w:p w14:paraId="192D866E" w14:textId="77777777" w:rsidR="00C71BB9" w:rsidRDefault="00000000">
            <w:pPr>
              <w:spacing w:after="60"/>
            </w:pPr>
            <w:r>
              <w:rPr>
                <w:rFonts w:ascii="Aptos" w:eastAsia="Aptos" w:hAnsi="Aptos" w:cs="Aptos"/>
                <w:b/>
                <w:bCs/>
                <w:color w:val="2E7D46"/>
                <w:spacing w:val="24"/>
              </w:rPr>
              <w:t>THIS WEEK IN BRIEF</w:t>
            </w:r>
          </w:p>
          <w:p w14:paraId="028ADF9D" w14:textId="2738FD0E" w:rsidR="00C71BB9" w:rsidRDefault="00000000">
            <w:r>
              <w:rPr>
                <w:color w:val="232323"/>
                <w:sz w:val="21"/>
                <w:szCs w:val="21"/>
              </w:rPr>
              <w:t xml:space="preserve">Stablecoins framed the week from both ends: the BIS warned the tokens still aren't fit to be everyday money even as Treasury's GENIUS Act rulebook sat open for comment and Visa widened its bets. </w:t>
            </w:r>
            <w:r w:rsidR="002A1D16">
              <w:rPr>
                <w:color w:val="232323"/>
                <w:sz w:val="21"/>
                <w:szCs w:val="21"/>
              </w:rPr>
              <w:t>R</w:t>
            </w:r>
            <w:r>
              <w:rPr>
                <w:color w:val="232323"/>
                <w:sz w:val="21"/>
                <w:szCs w:val="21"/>
              </w:rPr>
              <w:t>egulators finalized a lighter-touch exam regime, and mortgage rates eased to 6.66% as markets second-guessed a September Fed cut.</w:t>
            </w:r>
          </w:p>
        </w:tc>
      </w:tr>
    </w:tbl>
    <w:p w14:paraId="3EE218A5" w14:textId="77777777" w:rsidR="00C71BB9" w:rsidRDefault="00C71BB9">
      <w:pPr>
        <w:spacing w:after="200"/>
      </w:pPr>
    </w:p>
    <w:p w14:paraId="2874BB27" w14:textId="77777777" w:rsidR="00C71BB9" w:rsidRDefault="00000000">
      <w:pPr>
        <w:spacing w:before="40" w:after="60"/>
      </w:pPr>
      <w:r>
        <w:rPr>
          <w:noProof/>
        </w:rPr>
        <w:drawing>
          <wp:inline distT="0" distB="0" distL="0" distR="0" wp14:anchorId="7FACA9E6" wp14:editId="1DFEDCE9">
            <wp:extent cx="152400" cy="152400"/>
            <wp:effectExtent l="0" t="0" r="0" b="0"/>
            <wp:docPr id="1111302714" name="Picture 111130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52400" cy="152400"/>
                    </a:xfrm>
                    <a:prstGeom prst="rect">
                      <a:avLst/>
                    </a:prstGeom>
                  </pic:spPr>
                </pic:pic>
              </a:graphicData>
            </a:graphic>
          </wp:inline>
        </w:drawing>
      </w:r>
      <w:r>
        <w:t xml:space="preserve">  </w:t>
      </w:r>
      <w:r>
        <w:rPr>
          <w:rFonts w:ascii="Aptos" w:eastAsia="Aptos" w:hAnsi="Aptos" w:cs="Aptos"/>
          <w:b/>
          <w:bCs/>
          <w:color w:val="2E7D46"/>
          <w:spacing w:val="28"/>
          <w:sz w:val="19"/>
          <w:szCs w:val="19"/>
        </w:rPr>
        <w:t>PAYMENTS &amp; STABLECOINS</w:t>
      </w:r>
    </w:p>
    <w:p w14:paraId="213CA1E9" w14:textId="77777777" w:rsidR="00C71BB9" w:rsidRDefault="00C71BB9">
      <w:pPr>
        <w:spacing w:after="40" w:line="268" w:lineRule="auto"/>
      </w:pPr>
      <w:hyperlink r:id="rId9" w:history="1">
        <w:r>
          <w:rPr>
            <w:rFonts w:ascii="Libre Baskerville" w:eastAsia="Libre Baskerville" w:hAnsi="Libre Baskerville" w:cs="Libre Baskerville"/>
            <w:b/>
            <w:bCs/>
            <w:color w:val="2563EB"/>
            <w:sz w:val="24"/>
            <w:szCs w:val="24"/>
            <w:u w:val="single"/>
          </w:rPr>
          <w:t>Intuit embeds QuickBooks payments into Perplexity's AI agent</w:t>
        </w:r>
      </w:hyperlink>
    </w:p>
    <w:p w14:paraId="2E1C19D9" w14:textId="77777777" w:rsidR="00C71BB9" w:rsidRDefault="00000000">
      <w:pPr>
        <w:spacing w:after="90"/>
      </w:pPr>
      <w:r>
        <w:rPr>
          <w:i/>
          <w:iCs/>
          <w:color w:val="5A5A66"/>
          <w:sz w:val="18"/>
          <w:szCs w:val="18"/>
        </w:rPr>
        <w:t>PYMNTS · Aug 31</w:t>
      </w:r>
    </w:p>
    <w:p w14:paraId="07186823" w14:textId="77777777" w:rsidR="00C71BB9" w:rsidRDefault="00000000">
      <w:pPr>
        <w:spacing w:after="140" w:line="288" w:lineRule="auto"/>
      </w:pPr>
      <w:r>
        <w:rPr>
          <w:color w:val="232323"/>
          <w:sz w:val="21"/>
          <w:szCs w:val="21"/>
        </w:rPr>
        <w:t>Intuit is integrating QuickBooks and Mailchimp into Perplexity's agentic assistant via model-context-protocol connectors, letting businesses chase overdue invoices, set up recurring billing, send payment links, and access payroll from inside the AI's workflow. Perplexity's annualized revenue has climbed past $750 million from under $250 million earlier in 2026, and a reported Nvidia investment would value it above $30 billion.</w:t>
      </w:r>
    </w:p>
    <w:p w14:paraId="4E5FB312" w14:textId="77777777" w:rsidR="00C71BB9" w:rsidRDefault="00000000">
      <w:pPr>
        <w:pBdr>
          <w:left w:val="single" w:sz="20" w:space="10" w:color="2E7D46"/>
        </w:pBdr>
        <w:spacing w:after="50"/>
        <w:ind w:left="200"/>
      </w:pPr>
      <w:r>
        <w:rPr>
          <w:noProof/>
        </w:rPr>
        <w:drawing>
          <wp:inline distT="0" distB="0" distL="0" distR="0" wp14:anchorId="556D8FF7" wp14:editId="6738CED8">
            <wp:extent cx="142875" cy="142875"/>
            <wp:effectExtent l="0" t="0" r="0" b="0"/>
            <wp:docPr id="2108414156" name="Picture 210841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42875" cy="142875"/>
                    </a:xfrm>
                    <a:prstGeom prst="rect">
                      <a:avLst/>
                    </a:prstGeom>
                  </pic:spPr>
                </pic:pic>
              </a:graphicData>
            </a:graphic>
          </wp:inline>
        </w:drawing>
      </w:r>
      <w:r>
        <w:t xml:space="preserve">  </w:t>
      </w:r>
      <w:r>
        <w:rPr>
          <w:rFonts w:ascii="Aptos" w:eastAsia="Aptos" w:hAnsi="Aptos" w:cs="Aptos"/>
          <w:b/>
          <w:bCs/>
          <w:color w:val="2E7D46"/>
          <w:spacing w:val="24"/>
          <w:sz w:val="18"/>
          <w:szCs w:val="18"/>
        </w:rPr>
        <w:t>WHY IT MATTERS</w:t>
      </w:r>
    </w:p>
    <w:p w14:paraId="4865A7C2" w14:textId="302BBA85" w:rsidR="00C71BB9" w:rsidRDefault="00000000">
      <w:pPr>
        <w:pBdr>
          <w:left w:val="single" w:sz="20" w:space="10" w:color="2E7D46"/>
        </w:pBdr>
        <w:spacing w:after="40" w:line="288" w:lineRule="auto"/>
        <w:ind w:left="200"/>
      </w:pPr>
      <w:r>
        <w:rPr>
          <w:color w:val="232323"/>
          <w:sz w:val="21"/>
          <w:szCs w:val="21"/>
        </w:rPr>
        <w:t>This is agentic commerce moving from demo to distribution: money movement is being pulled into the AI layer, where the interface, not the bank or card network, owns the customer relationship.</w:t>
      </w:r>
      <w:r w:rsidR="00660A01">
        <w:rPr>
          <w:color w:val="232323"/>
          <w:sz w:val="21"/>
          <w:szCs w:val="21"/>
        </w:rPr>
        <w:t xml:space="preserve"> While adoption is unknown at such an early stage,</w:t>
      </w:r>
      <w:r>
        <w:rPr>
          <w:color w:val="232323"/>
          <w:sz w:val="21"/>
          <w:szCs w:val="21"/>
        </w:rPr>
        <w:t xml:space="preserve"> </w:t>
      </w:r>
      <w:r w:rsidR="00660A01">
        <w:rPr>
          <w:color w:val="232323"/>
          <w:sz w:val="21"/>
          <w:szCs w:val="21"/>
        </w:rPr>
        <w:t>i</w:t>
      </w:r>
      <w:r>
        <w:rPr>
          <w:color w:val="232323"/>
          <w:sz w:val="21"/>
          <w:szCs w:val="21"/>
        </w:rPr>
        <w:t xml:space="preserve">ncumbents that treat AI as a channel rather than a competitor for the transaction </w:t>
      </w:r>
      <w:r w:rsidR="00660A01">
        <w:rPr>
          <w:color w:val="232323"/>
          <w:sz w:val="21"/>
          <w:szCs w:val="21"/>
        </w:rPr>
        <w:t xml:space="preserve">could </w:t>
      </w:r>
      <w:r>
        <w:rPr>
          <w:color w:val="232323"/>
          <w:sz w:val="21"/>
          <w:szCs w:val="21"/>
        </w:rPr>
        <w:t>risk quiet disintermediation.</w:t>
      </w:r>
    </w:p>
    <w:p w14:paraId="7EE19EBB" w14:textId="44807EDB" w:rsidR="00C71BB9" w:rsidRDefault="00C71BB9">
      <w:pPr>
        <w:pBdr>
          <w:left w:val="single" w:sz="20" w:space="10" w:color="2E7D46"/>
        </w:pBdr>
        <w:spacing w:line="264" w:lineRule="auto"/>
        <w:ind w:left="200"/>
      </w:pPr>
    </w:p>
    <w:p w14:paraId="3093634C" w14:textId="77777777" w:rsidR="00C71BB9" w:rsidRDefault="00C71BB9">
      <w:pPr>
        <w:pBdr>
          <w:bottom w:val="single" w:sz="6" w:space="1" w:color="DCE0E6"/>
        </w:pBdr>
        <w:spacing w:before="140" w:after="160"/>
      </w:pPr>
    </w:p>
    <w:p w14:paraId="21551BB9" w14:textId="77777777" w:rsidR="00C71BB9" w:rsidRDefault="00000000">
      <w:pPr>
        <w:spacing w:before="40" w:after="60"/>
      </w:pPr>
      <w:r>
        <w:rPr>
          <w:noProof/>
        </w:rPr>
        <w:drawing>
          <wp:inline distT="0" distB="0" distL="0" distR="0" wp14:anchorId="096425B0" wp14:editId="62069605">
            <wp:extent cx="152400" cy="152400"/>
            <wp:effectExtent l="0" t="0" r="0" b="0"/>
            <wp:docPr id="170678916" name="Picture 17067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52400" cy="152400"/>
                    </a:xfrm>
                    <a:prstGeom prst="rect">
                      <a:avLst/>
                    </a:prstGeom>
                  </pic:spPr>
                </pic:pic>
              </a:graphicData>
            </a:graphic>
          </wp:inline>
        </w:drawing>
      </w:r>
      <w:r>
        <w:t xml:space="preserve">  </w:t>
      </w:r>
      <w:r>
        <w:rPr>
          <w:rFonts w:ascii="Aptos" w:eastAsia="Aptos" w:hAnsi="Aptos" w:cs="Aptos"/>
          <w:b/>
          <w:bCs/>
          <w:color w:val="2E7D46"/>
          <w:spacing w:val="28"/>
          <w:sz w:val="19"/>
          <w:szCs w:val="19"/>
        </w:rPr>
        <w:t>PAYMENTS &amp; STABLECOINS</w:t>
      </w:r>
    </w:p>
    <w:p w14:paraId="59155C20" w14:textId="77777777" w:rsidR="00C71BB9" w:rsidRDefault="00C71BB9">
      <w:pPr>
        <w:spacing w:after="40" w:line="268" w:lineRule="auto"/>
      </w:pPr>
      <w:hyperlink r:id="rId11" w:history="1">
        <w:r>
          <w:rPr>
            <w:rFonts w:ascii="Libre Baskerville" w:eastAsia="Libre Baskerville" w:hAnsi="Libre Baskerville" w:cs="Libre Baskerville"/>
            <w:b/>
            <w:bCs/>
            <w:color w:val="2563EB"/>
            <w:sz w:val="24"/>
            <w:szCs w:val="24"/>
            <w:u w:val="single"/>
          </w:rPr>
          <w:t>Visa widens its stablecoin push with a new Upbit-operator deal</w:t>
        </w:r>
      </w:hyperlink>
    </w:p>
    <w:p w14:paraId="237C2240" w14:textId="77777777" w:rsidR="00C71BB9" w:rsidRDefault="00000000">
      <w:pPr>
        <w:spacing w:after="90"/>
      </w:pPr>
      <w:r>
        <w:rPr>
          <w:i/>
          <w:iCs/>
          <w:color w:val="5A5A66"/>
          <w:sz w:val="18"/>
          <w:szCs w:val="18"/>
        </w:rPr>
        <w:t>Blockhead · Aug 28</w:t>
      </w:r>
    </w:p>
    <w:p w14:paraId="6C3AB6EE" w14:textId="77777777" w:rsidR="00C71BB9" w:rsidRDefault="00000000">
      <w:pPr>
        <w:spacing w:after="140" w:line="288" w:lineRule="auto"/>
      </w:pPr>
      <w:r>
        <w:rPr>
          <w:color w:val="232323"/>
          <w:sz w:val="21"/>
          <w:szCs w:val="21"/>
        </w:rPr>
        <w:t>Visa signed a partnership with Dunamu, operator of Korea's Upbit exchange, to explore stablecoin cross-border payments and agentic commerce built around OUSD, an open-standard stablecoin backed by a consortium of more than 140 institutions including Visa, Mastercard, BlackRock and Circle. The deal follows Visa joining Singapore's BLOOM stablecoin initiative and its search for a new settlement partner after Mastercard acquired BVNK.</w:t>
      </w:r>
    </w:p>
    <w:p w14:paraId="2388C5D1" w14:textId="77777777" w:rsidR="00C71BB9" w:rsidRDefault="00000000">
      <w:pPr>
        <w:pBdr>
          <w:left w:val="single" w:sz="20" w:space="10" w:color="2E7D46"/>
        </w:pBdr>
        <w:spacing w:after="50"/>
        <w:ind w:left="200"/>
      </w:pPr>
      <w:r>
        <w:rPr>
          <w:noProof/>
        </w:rPr>
        <w:drawing>
          <wp:inline distT="0" distB="0" distL="0" distR="0" wp14:anchorId="31B629CA" wp14:editId="346DFA68">
            <wp:extent cx="142875" cy="142875"/>
            <wp:effectExtent l="0" t="0" r="0" b="0"/>
            <wp:docPr id="100731162" name="Picture 10073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42875" cy="142875"/>
                    </a:xfrm>
                    <a:prstGeom prst="rect">
                      <a:avLst/>
                    </a:prstGeom>
                  </pic:spPr>
                </pic:pic>
              </a:graphicData>
            </a:graphic>
          </wp:inline>
        </w:drawing>
      </w:r>
      <w:r>
        <w:t xml:space="preserve">  </w:t>
      </w:r>
      <w:r>
        <w:rPr>
          <w:rFonts w:ascii="Aptos" w:eastAsia="Aptos" w:hAnsi="Aptos" w:cs="Aptos"/>
          <w:b/>
          <w:bCs/>
          <w:color w:val="2E7D46"/>
          <w:spacing w:val="24"/>
          <w:sz w:val="18"/>
          <w:szCs w:val="18"/>
        </w:rPr>
        <w:t>WHY IT MATTERS</w:t>
      </w:r>
    </w:p>
    <w:p w14:paraId="5119B86B" w14:textId="77777777" w:rsidR="00C71BB9" w:rsidRDefault="00000000">
      <w:pPr>
        <w:pBdr>
          <w:left w:val="single" w:sz="20" w:space="10" w:color="2E7D46"/>
        </w:pBdr>
        <w:spacing w:after="40" w:line="288" w:lineRule="auto"/>
        <w:ind w:left="200"/>
      </w:pPr>
      <w:r>
        <w:rPr>
          <w:color w:val="232323"/>
          <w:sz w:val="21"/>
          <w:szCs w:val="21"/>
        </w:rPr>
        <w:t>The card networks are hedging deliberately: rather than back a single issuer, Visa and Mastercard are embedding themselves across competing stablecoin rails so they capture volume whichever standard wins. That optionality is a defensive moat, but it also signals they expect stablecoins to route around traditional interchange.</w:t>
      </w:r>
    </w:p>
    <w:p w14:paraId="46D6051A" w14:textId="6058C4B3" w:rsidR="00C71BB9" w:rsidRDefault="00C71BB9" w:rsidP="00660A01">
      <w:pPr>
        <w:spacing w:before="40" w:after="60"/>
      </w:pPr>
    </w:p>
    <w:p w14:paraId="1B8E9562" w14:textId="77777777" w:rsidR="00C71BB9" w:rsidRDefault="00C71BB9">
      <w:pPr>
        <w:pBdr>
          <w:bottom w:val="single" w:sz="6" w:space="1" w:color="DCE0E6"/>
        </w:pBdr>
        <w:spacing w:before="140" w:after="160"/>
      </w:pPr>
    </w:p>
    <w:p w14:paraId="48058966" w14:textId="77777777" w:rsidR="00C71BB9" w:rsidRDefault="00000000">
      <w:pPr>
        <w:spacing w:before="40" w:after="60"/>
      </w:pPr>
      <w:r>
        <w:rPr>
          <w:noProof/>
        </w:rPr>
        <w:drawing>
          <wp:inline distT="0" distB="0" distL="0" distR="0" wp14:anchorId="5A4650CF" wp14:editId="56970DFC">
            <wp:extent cx="152400" cy="152400"/>
            <wp:effectExtent l="0" t="0" r="0" b="0"/>
            <wp:docPr id="723097425" name="Picture 72309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52400" cy="152400"/>
                    </a:xfrm>
                    <a:prstGeom prst="rect">
                      <a:avLst/>
                    </a:prstGeom>
                  </pic:spPr>
                </pic:pic>
              </a:graphicData>
            </a:graphic>
          </wp:inline>
        </w:drawing>
      </w:r>
      <w:r>
        <w:t xml:space="preserve">  </w:t>
      </w:r>
      <w:r>
        <w:rPr>
          <w:rFonts w:ascii="Aptos" w:eastAsia="Aptos" w:hAnsi="Aptos" w:cs="Aptos"/>
          <w:b/>
          <w:bCs/>
          <w:color w:val="2E7D46"/>
          <w:spacing w:val="28"/>
          <w:sz w:val="19"/>
          <w:szCs w:val="19"/>
        </w:rPr>
        <w:t>BANKING &amp; REGULATION</w:t>
      </w:r>
    </w:p>
    <w:p w14:paraId="1774DBC2" w14:textId="77777777" w:rsidR="00C71BB9" w:rsidRDefault="00C71BB9">
      <w:pPr>
        <w:spacing w:after="40" w:line="268" w:lineRule="auto"/>
      </w:pPr>
      <w:hyperlink r:id="rId13" w:history="1">
        <w:r>
          <w:rPr>
            <w:rFonts w:ascii="Libre Baskerville" w:eastAsia="Libre Baskerville" w:hAnsi="Libre Baskerville" w:cs="Libre Baskerville"/>
            <w:b/>
            <w:bCs/>
            <w:color w:val="2563EB"/>
            <w:sz w:val="24"/>
            <w:szCs w:val="24"/>
            <w:u w:val="single"/>
          </w:rPr>
          <w:t>OCC and FDIC finalize narrower, risk-focused bank exams</w:t>
        </w:r>
      </w:hyperlink>
    </w:p>
    <w:p w14:paraId="791F62D0" w14:textId="77777777" w:rsidR="00C71BB9" w:rsidRDefault="00000000">
      <w:pPr>
        <w:spacing w:after="90"/>
      </w:pPr>
      <w:r>
        <w:rPr>
          <w:i/>
          <w:iCs/>
          <w:color w:val="5A5A66"/>
          <w:sz w:val="18"/>
          <w:szCs w:val="18"/>
        </w:rPr>
        <w:t>American Banker · Aug 27</w:t>
      </w:r>
    </w:p>
    <w:p w14:paraId="441EAE63" w14:textId="77777777" w:rsidR="00C71BB9" w:rsidRDefault="00000000">
      <w:pPr>
        <w:spacing w:after="140" w:line="288" w:lineRule="auto"/>
      </w:pPr>
      <w:r>
        <w:rPr>
          <w:color w:val="232323"/>
          <w:sz w:val="21"/>
          <w:szCs w:val="21"/>
        </w:rPr>
        <w:t>The OCC and FDIC finalized rules directing examiners to prioritize 'material financial risks' over policy, process and documentation concerns, and established the first regulatory definition of 'unsafe or unsound practices.' The rules distinguish non-binding supervisory 'observations' from Matters Requiring Attention and cap most examiner lookbacks at one year or less.</w:t>
      </w:r>
    </w:p>
    <w:p w14:paraId="6814EA4C" w14:textId="77777777" w:rsidR="00C71BB9" w:rsidRDefault="00000000">
      <w:pPr>
        <w:pBdr>
          <w:left w:val="single" w:sz="20" w:space="10" w:color="2E7D46"/>
        </w:pBdr>
        <w:spacing w:after="50"/>
        <w:ind w:left="200"/>
      </w:pPr>
      <w:r>
        <w:rPr>
          <w:noProof/>
        </w:rPr>
        <w:drawing>
          <wp:inline distT="0" distB="0" distL="0" distR="0" wp14:anchorId="7C004EE4" wp14:editId="32DF7292">
            <wp:extent cx="142875" cy="142875"/>
            <wp:effectExtent l="0" t="0" r="0" b="0"/>
            <wp:docPr id="12189491" name="Picture 1218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42875" cy="142875"/>
                    </a:xfrm>
                    <a:prstGeom prst="rect">
                      <a:avLst/>
                    </a:prstGeom>
                  </pic:spPr>
                </pic:pic>
              </a:graphicData>
            </a:graphic>
          </wp:inline>
        </w:drawing>
      </w:r>
      <w:r>
        <w:t xml:space="preserve">  </w:t>
      </w:r>
      <w:r>
        <w:rPr>
          <w:rFonts w:ascii="Aptos" w:eastAsia="Aptos" w:hAnsi="Aptos" w:cs="Aptos"/>
          <w:b/>
          <w:bCs/>
          <w:color w:val="2E7D46"/>
          <w:spacing w:val="24"/>
          <w:sz w:val="18"/>
          <w:szCs w:val="18"/>
        </w:rPr>
        <w:t>WHY IT MATTERS</w:t>
      </w:r>
    </w:p>
    <w:p w14:paraId="4F18E30E" w14:textId="24EEF2C2" w:rsidR="00C71BB9" w:rsidRDefault="00000000" w:rsidP="00660A01">
      <w:pPr>
        <w:pBdr>
          <w:left w:val="single" w:sz="20" w:space="10" w:color="2E7D46"/>
        </w:pBdr>
        <w:spacing w:after="40" w:line="288" w:lineRule="auto"/>
        <w:ind w:left="200"/>
      </w:pPr>
      <w:r>
        <w:rPr>
          <w:color w:val="232323"/>
          <w:sz w:val="21"/>
          <w:szCs w:val="21"/>
        </w:rPr>
        <w:t xml:space="preserve">This is the clearest codification yet of the administration's lighter-touch supervisory posture, and it hands banks a defensible standard to push back on examiner findings. </w:t>
      </w:r>
      <w:r w:rsidR="00660A01">
        <w:rPr>
          <w:color w:val="232323"/>
          <w:sz w:val="21"/>
          <w:szCs w:val="21"/>
        </w:rPr>
        <w:t>Anyone who has been in banking recognizes that the vast majority of regulators on the ground focus more on processes, rather than looking at risks from a macro perspective, thereby losing the ability to flesh out institutional risks in time.</w:t>
      </w:r>
    </w:p>
    <w:p w14:paraId="7BBB7AFF" w14:textId="77777777" w:rsidR="00C71BB9" w:rsidRDefault="00C71BB9">
      <w:pPr>
        <w:pBdr>
          <w:bottom w:val="single" w:sz="6" w:space="1" w:color="DCE0E6"/>
        </w:pBdr>
        <w:spacing w:before="140" w:after="160"/>
      </w:pPr>
    </w:p>
    <w:p w14:paraId="626A92BA" w14:textId="77777777" w:rsidR="00C71BB9" w:rsidRDefault="00000000">
      <w:pPr>
        <w:spacing w:before="40" w:after="60"/>
      </w:pPr>
      <w:r>
        <w:rPr>
          <w:noProof/>
        </w:rPr>
        <w:drawing>
          <wp:inline distT="0" distB="0" distL="0" distR="0" wp14:anchorId="39AAB5DC" wp14:editId="650F7C21">
            <wp:extent cx="152400" cy="152400"/>
            <wp:effectExtent l="0" t="0" r="0" b="0"/>
            <wp:docPr id="98101747" name="Picture 9810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152400" cy="152400"/>
                    </a:xfrm>
                    <a:prstGeom prst="rect">
                      <a:avLst/>
                    </a:prstGeom>
                  </pic:spPr>
                </pic:pic>
              </a:graphicData>
            </a:graphic>
          </wp:inline>
        </w:drawing>
      </w:r>
      <w:r>
        <w:t xml:space="preserve">  </w:t>
      </w:r>
      <w:r>
        <w:rPr>
          <w:rFonts w:ascii="Aptos" w:eastAsia="Aptos" w:hAnsi="Aptos" w:cs="Aptos"/>
          <w:b/>
          <w:bCs/>
          <w:color w:val="2E7D46"/>
          <w:spacing w:val="28"/>
          <w:sz w:val="19"/>
          <w:szCs w:val="19"/>
        </w:rPr>
        <w:t>LENDING &amp; CREDIT</w:t>
      </w:r>
    </w:p>
    <w:p w14:paraId="2D8BE0C8" w14:textId="77777777" w:rsidR="00C71BB9" w:rsidRDefault="00C71BB9">
      <w:pPr>
        <w:spacing w:after="40" w:line="268" w:lineRule="auto"/>
      </w:pPr>
      <w:hyperlink r:id="rId15" w:history="1">
        <w:r>
          <w:rPr>
            <w:rFonts w:ascii="Libre Baskerville" w:eastAsia="Libre Baskerville" w:hAnsi="Libre Baskerville" w:cs="Libre Baskerville"/>
            <w:b/>
            <w:bCs/>
            <w:color w:val="2563EB"/>
            <w:sz w:val="24"/>
            <w:szCs w:val="24"/>
            <w:u w:val="single"/>
          </w:rPr>
          <w:t>Fed data shows BNPL strain concentrated among vulnerable borrowers</w:t>
        </w:r>
      </w:hyperlink>
    </w:p>
    <w:p w14:paraId="6A3B321E" w14:textId="77777777" w:rsidR="00C71BB9" w:rsidRDefault="00000000">
      <w:pPr>
        <w:spacing w:after="90"/>
      </w:pPr>
      <w:r>
        <w:rPr>
          <w:i/>
          <w:iCs/>
          <w:color w:val="5A5A66"/>
          <w:sz w:val="18"/>
          <w:szCs w:val="18"/>
        </w:rPr>
        <w:t>Federal Reserve · Aug 21</w:t>
      </w:r>
    </w:p>
    <w:p w14:paraId="7BFEA474" w14:textId="77777777" w:rsidR="00C71BB9" w:rsidRDefault="00000000">
      <w:pPr>
        <w:spacing w:after="140" w:line="288" w:lineRule="auto"/>
      </w:pPr>
      <w:r>
        <w:rPr>
          <w:color w:val="232323"/>
          <w:sz w:val="21"/>
          <w:szCs w:val="21"/>
        </w:rPr>
        <w:t>The Federal Reserve's August Consumer &amp; Community Context found 16% of US adults used buy-now-pay-later in 2025, with usage highest among younger, lower-income and financially constrained consumers. Eleven percent of BNPL users had a payment trigger an overdraft or NSF fee in the prior year, 26% paid late at least once, and roughly a fifth used the product for groceries and food delivery.</w:t>
      </w:r>
    </w:p>
    <w:p w14:paraId="72F7E422" w14:textId="77777777" w:rsidR="00C71BB9" w:rsidRDefault="00000000">
      <w:pPr>
        <w:pBdr>
          <w:left w:val="single" w:sz="20" w:space="10" w:color="2E7D46"/>
        </w:pBdr>
        <w:spacing w:after="50"/>
        <w:ind w:left="200"/>
      </w:pPr>
      <w:r>
        <w:rPr>
          <w:noProof/>
        </w:rPr>
        <w:drawing>
          <wp:inline distT="0" distB="0" distL="0" distR="0" wp14:anchorId="1E19FB92" wp14:editId="65D4D3FF">
            <wp:extent cx="142875" cy="142875"/>
            <wp:effectExtent l="0" t="0" r="0" b="0"/>
            <wp:docPr id="1857731469" name="Picture 185773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42875" cy="142875"/>
                    </a:xfrm>
                    <a:prstGeom prst="rect">
                      <a:avLst/>
                    </a:prstGeom>
                  </pic:spPr>
                </pic:pic>
              </a:graphicData>
            </a:graphic>
          </wp:inline>
        </w:drawing>
      </w:r>
      <w:r>
        <w:t xml:space="preserve">  </w:t>
      </w:r>
      <w:r>
        <w:rPr>
          <w:rFonts w:ascii="Aptos" w:eastAsia="Aptos" w:hAnsi="Aptos" w:cs="Aptos"/>
          <w:b/>
          <w:bCs/>
          <w:color w:val="2E7D46"/>
          <w:spacing w:val="24"/>
          <w:sz w:val="18"/>
          <w:szCs w:val="18"/>
        </w:rPr>
        <w:t>WHY IT MATTERS</w:t>
      </w:r>
    </w:p>
    <w:p w14:paraId="2AF7DF12" w14:textId="77777777" w:rsidR="00C71BB9" w:rsidRDefault="00000000">
      <w:pPr>
        <w:pBdr>
          <w:left w:val="single" w:sz="20" w:space="10" w:color="2E7D46"/>
        </w:pBdr>
        <w:spacing w:after="40" w:line="288" w:lineRule="auto"/>
        <w:ind w:left="200"/>
      </w:pPr>
      <w:r>
        <w:rPr>
          <w:color w:val="232323"/>
          <w:sz w:val="21"/>
          <w:szCs w:val="21"/>
        </w:rPr>
        <w:t>BNPL is increasingly a stopgap for essentials rather than a convenience for discretionary buys, a distinction that matters for anyone underwriting the consumer. The overdraft linkage means BNPL stress is already bleeding into deposit accounts, understating what headline delinquency data shows.</w:t>
      </w:r>
    </w:p>
    <w:p w14:paraId="02356C9E" w14:textId="40174D84" w:rsidR="00C71BB9" w:rsidRDefault="00C71BB9">
      <w:pPr>
        <w:pBdr>
          <w:left w:val="single" w:sz="20" w:space="10" w:color="2E7D46"/>
        </w:pBdr>
        <w:spacing w:line="264" w:lineRule="auto"/>
        <w:ind w:left="200"/>
      </w:pPr>
    </w:p>
    <w:p w14:paraId="569489EB" w14:textId="77777777" w:rsidR="00C71BB9" w:rsidRDefault="00C71BB9">
      <w:pPr>
        <w:pBdr>
          <w:bottom w:val="single" w:sz="6" w:space="1" w:color="DCE0E6"/>
        </w:pBdr>
        <w:spacing w:before="140" w:after="160"/>
      </w:pPr>
    </w:p>
    <w:p w14:paraId="1B7BCFC5" w14:textId="77777777" w:rsidR="00C71BB9" w:rsidRDefault="00C71BB9">
      <w:pPr>
        <w:spacing w:after="40"/>
      </w:pPr>
    </w:p>
    <w:tbl>
      <w:tblPr>
        <w:tblW w:w="10040" w:type="dxa"/>
        <w:tblBorders>
          <w:insideV w:val="single" w:sz="4" w:space="0" w:color="C9D8F0"/>
        </w:tblBorders>
        <w:tblCellMar>
          <w:left w:w="10" w:type="dxa"/>
          <w:right w:w="10" w:type="dxa"/>
        </w:tblCellMar>
        <w:tblLook w:val="0000" w:firstRow="0" w:lastRow="0" w:firstColumn="0" w:lastColumn="0" w:noHBand="0" w:noVBand="0"/>
      </w:tblPr>
      <w:tblGrid>
        <w:gridCol w:w="2500"/>
        <w:gridCol w:w="7540"/>
      </w:tblGrid>
      <w:tr w:rsidR="00C71BB9" w14:paraId="0C198D1C" w14:textId="77777777">
        <w:tc>
          <w:tcPr>
            <w:tcW w:w="2500" w:type="dxa"/>
            <w:shd w:val="clear" w:color="auto" w:fill="E9F0FB"/>
            <w:tcMar>
              <w:top w:w="150" w:type="dxa"/>
              <w:left w:w="180" w:type="dxa"/>
              <w:bottom w:w="150" w:type="dxa"/>
              <w:right w:w="120" w:type="dxa"/>
            </w:tcMar>
            <w:vAlign w:val="center"/>
          </w:tcPr>
          <w:p w14:paraId="77DE8969" w14:textId="77777777" w:rsidR="00C71BB9" w:rsidRDefault="00000000">
            <w:r>
              <w:rPr>
                <w:noProof/>
              </w:rPr>
              <w:drawing>
                <wp:inline distT="0" distB="0" distL="0" distR="0" wp14:anchorId="30D5D42D" wp14:editId="16398377">
                  <wp:extent cx="228600" cy="228600"/>
                  <wp:effectExtent l="0" t="0" r="0" b="0"/>
                  <wp:docPr id="1841408191" name="Picture 184140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28600" cy="228600"/>
                          </a:xfrm>
                          <a:prstGeom prst="rect">
                            <a:avLst/>
                          </a:prstGeom>
                        </pic:spPr>
                      </pic:pic>
                    </a:graphicData>
                  </a:graphic>
                </wp:inline>
              </w:drawing>
            </w:r>
          </w:p>
          <w:p w14:paraId="2F4A80F9" w14:textId="77777777" w:rsidR="00C71BB9" w:rsidRDefault="00000000">
            <w:pPr>
              <w:spacing w:before="30"/>
            </w:pPr>
            <w:r>
              <w:rPr>
                <w:rFonts w:ascii="Aptos" w:eastAsia="Aptos" w:hAnsi="Aptos" w:cs="Aptos"/>
                <w:b/>
                <w:bCs/>
                <w:color w:val="2563EB"/>
                <w:spacing w:val="22"/>
                <w:sz w:val="19"/>
                <w:szCs w:val="19"/>
              </w:rPr>
              <w:t>WHAT TO WATCH</w:t>
            </w:r>
          </w:p>
        </w:tc>
        <w:tc>
          <w:tcPr>
            <w:tcW w:w="7540" w:type="dxa"/>
            <w:shd w:val="clear" w:color="auto" w:fill="E9F0FB"/>
            <w:tcMar>
              <w:top w:w="150" w:type="dxa"/>
              <w:left w:w="200" w:type="dxa"/>
              <w:bottom w:w="150" w:type="dxa"/>
              <w:right w:w="200" w:type="dxa"/>
            </w:tcMar>
            <w:vAlign w:val="center"/>
          </w:tcPr>
          <w:p w14:paraId="15C75A23" w14:textId="77777777" w:rsidR="00744316" w:rsidRDefault="00744316" w:rsidP="00744316">
            <w:pPr>
              <w:spacing w:after="30"/>
            </w:pPr>
            <w:hyperlink r:id="rId17" w:history="1">
              <w:r>
                <w:rPr>
                  <w:rFonts w:ascii="Libre Baskerville" w:eastAsia="Libre Baskerville" w:hAnsi="Libre Baskerville" w:cs="Libre Baskerville"/>
                  <w:b/>
                  <w:bCs/>
                  <w:color w:val="2563EB"/>
                  <w:u w:val="single"/>
                </w:rPr>
                <w:t>Stripe's $7B+ OpenRouter deal pushes AI deeper into banking's turf</w:t>
              </w:r>
            </w:hyperlink>
          </w:p>
          <w:p w14:paraId="0FDF7F0B" w14:textId="1BD9ABC3" w:rsidR="00C71BB9" w:rsidRDefault="00744316" w:rsidP="00744316">
            <w:r>
              <w:rPr>
                <w:i/>
                <w:iCs/>
                <w:color w:val="5A5A66"/>
                <w:sz w:val="18"/>
                <w:szCs w:val="18"/>
              </w:rPr>
              <w:t>American Banker · Aug 20</w:t>
            </w:r>
          </w:p>
        </w:tc>
      </w:tr>
    </w:tbl>
    <w:p w14:paraId="4B4722EB" w14:textId="77777777" w:rsidR="00C71BB9" w:rsidRDefault="00C71BB9">
      <w:pPr>
        <w:spacing w:after="220"/>
      </w:pPr>
    </w:p>
    <w:p w14:paraId="0313709C" w14:textId="77777777" w:rsidR="00C71BB9" w:rsidRDefault="00000000">
      <w:pPr>
        <w:spacing w:after="60"/>
        <w:jc w:val="center"/>
      </w:pPr>
      <w:r>
        <w:rPr>
          <w:i/>
          <w:iCs/>
          <w:color w:val="5A5A66"/>
          <w:sz w:val="19"/>
          <w:szCs w:val="19"/>
        </w:rPr>
        <w:t>Stay ahead of what’s moving markets, regulation, and the business of banking.</w:t>
      </w:r>
    </w:p>
    <w:p w14:paraId="1BD3BEFB" w14:textId="77777777" w:rsidR="00C71BB9" w:rsidRDefault="00C71BB9">
      <w:pPr>
        <w:pBdr>
          <w:bottom w:val="single" w:sz="12" w:space="1" w:color="2E7D46"/>
        </w:pBdr>
        <w:ind w:left="4300" w:right="4300"/>
        <w:jc w:val="center"/>
      </w:pPr>
    </w:p>
    <w:sectPr w:rsidR="00C71BB9">
      <w:pgSz w:w="12240" w:h="15840"/>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erif 4">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D191E"/>
    <w:multiLevelType w:val="hybridMultilevel"/>
    <w:tmpl w:val="743829C6"/>
    <w:lvl w:ilvl="0" w:tplc="EFAC23F8">
      <w:start w:val="1"/>
      <w:numFmt w:val="bullet"/>
      <w:lvlText w:val="●"/>
      <w:lvlJc w:val="left"/>
      <w:pPr>
        <w:ind w:left="720" w:hanging="360"/>
      </w:pPr>
    </w:lvl>
    <w:lvl w:ilvl="1" w:tplc="310CF082">
      <w:start w:val="1"/>
      <w:numFmt w:val="bullet"/>
      <w:lvlText w:val="○"/>
      <w:lvlJc w:val="left"/>
      <w:pPr>
        <w:ind w:left="1440" w:hanging="360"/>
      </w:pPr>
    </w:lvl>
    <w:lvl w:ilvl="2" w:tplc="584E0C90">
      <w:start w:val="1"/>
      <w:numFmt w:val="bullet"/>
      <w:lvlText w:val="■"/>
      <w:lvlJc w:val="left"/>
      <w:pPr>
        <w:ind w:left="2160" w:hanging="360"/>
      </w:pPr>
    </w:lvl>
    <w:lvl w:ilvl="3" w:tplc="3160800C">
      <w:start w:val="1"/>
      <w:numFmt w:val="bullet"/>
      <w:lvlText w:val="●"/>
      <w:lvlJc w:val="left"/>
      <w:pPr>
        <w:ind w:left="2880" w:hanging="360"/>
      </w:pPr>
    </w:lvl>
    <w:lvl w:ilvl="4" w:tplc="E87A46A8">
      <w:start w:val="1"/>
      <w:numFmt w:val="bullet"/>
      <w:lvlText w:val="○"/>
      <w:lvlJc w:val="left"/>
      <w:pPr>
        <w:ind w:left="3600" w:hanging="360"/>
      </w:pPr>
    </w:lvl>
    <w:lvl w:ilvl="5" w:tplc="E8A0DF98">
      <w:start w:val="1"/>
      <w:numFmt w:val="bullet"/>
      <w:lvlText w:val="■"/>
      <w:lvlJc w:val="left"/>
      <w:pPr>
        <w:ind w:left="4320" w:hanging="360"/>
      </w:pPr>
    </w:lvl>
    <w:lvl w:ilvl="6" w:tplc="710EC082">
      <w:start w:val="1"/>
      <w:numFmt w:val="bullet"/>
      <w:lvlText w:val="●"/>
      <w:lvlJc w:val="left"/>
      <w:pPr>
        <w:ind w:left="5040" w:hanging="360"/>
      </w:pPr>
    </w:lvl>
    <w:lvl w:ilvl="7" w:tplc="D0C0FBE0">
      <w:start w:val="1"/>
      <w:numFmt w:val="bullet"/>
      <w:lvlText w:val="●"/>
      <w:lvlJc w:val="left"/>
      <w:pPr>
        <w:ind w:left="5760" w:hanging="360"/>
      </w:pPr>
    </w:lvl>
    <w:lvl w:ilvl="8" w:tplc="8912221E">
      <w:start w:val="1"/>
      <w:numFmt w:val="bullet"/>
      <w:lvlText w:val="●"/>
      <w:lvlJc w:val="left"/>
      <w:pPr>
        <w:ind w:left="6480" w:hanging="360"/>
      </w:pPr>
    </w:lvl>
  </w:abstractNum>
  <w:num w:numId="1" w16cid:durableId="3381191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BB9"/>
    <w:rsid w:val="002A1D16"/>
    <w:rsid w:val="00660A01"/>
    <w:rsid w:val="00744316"/>
    <w:rsid w:val="00BF0B59"/>
    <w:rsid w:val="00C7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ACF4"/>
  <w15:docId w15:val="{7E08D97C-FF93-466A-9B3F-E389AA66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erif 4" w:eastAsia="Source Serif 4" w:hAnsi="Source Serif 4" w:cs="Source Serif 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americanbanker.com/news/occ-and-fdic-finalize-narrower-bank-supervision-procedur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hyperlink" Target="https://www.americanbanker.com/payments/news/stripe-buys-openrouter-as-it-encroaches-on-banking-with-ai" TargetMode="Externa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lockhead.co/2026/08/28/dunamu-visa-partner-to-explore-stablecoin-payment-ai-driven-financial-services/" TargetMode="External"/><Relationship Id="rId5" Type="http://schemas.openxmlformats.org/officeDocument/2006/relationships/image" Target="media/image1.png"/><Relationship Id="rId15" Type="http://schemas.openxmlformats.org/officeDocument/2006/relationships/hyperlink" Target="https://www.federalreserve.gov/publications/2026-august-consumer-community-context.ht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ymnts.com/news/artificial-intelligence/2026/intuit-and-perplexity-team-on-ai-integrations/"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3540</Characters>
  <Application>Microsoft Office Word</Application>
  <DocSecurity>0</DocSecurity>
  <Lines>78</Lines>
  <Paragraphs>35</Paragraphs>
  <ScaleCrop>false</ScaleCrop>
  <HeadingPairs>
    <vt:vector size="2" baseType="variant">
      <vt:variant>
        <vt:lpstr>Title</vt:lpstr>
      </vt:variant>
      <vt:variant>
        <vt:i4>1</vt:i4>
      </vt:variant>
    </vt:vector>
  </HeadingPairs>
  <TitlesOfParts>
    <vt:vector size="1" baseType="lpstr">
      <vt:lpstr>The Daily Pulse — by Jagdeep Dayal</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Daily Pulse — by Jagdeep Dayal</dc:title>
  <dc:creator>The Daily Pulse</dc:creator>
  <cp:lastModifiedBy>Jagdeep Dayal</cp:lastModifiedBy>
  <cp:revision>5</cp:revision>
  <dcterms:created xsi:type="dcterms:W3CDTF">2026-09-01T12:40:00Z</dcterms:created>
  <dcterms:modified xsi:type="dcterms:W3CDTF">2026-09-01T12:46:00Z</dcterms:modified>
</cp:coreProperties>
</file>